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7628" w:rsidRPr="00264874" w:rsidRDefault="00027628" w:rsidP="00027628">
      <w:pPr>
        <w:shd w:val="clear" w:color="auto" w:fill="FFFFFF"/>
        <w:rPr>
          <w:rFonts w:ascii="Open Sans" w:eastAsia="Times New Roman" w:hAnsi="Open Sans" w:cs="Open Sans"/>
          <w:b/>
          <w:bCs/>
          <w:color w:val="000000" w:themeColor="text1"/>
          <w:spacing w:val="2"/>
          <w:kern w:val="0"/>
          <w:sz w:val="28"/>
          <w:szCs w:val="28"/>
          <w14:ligatures w14:val="none"/>
        </w:rPr>
      </w:pPr>
      <w:r w:rsidRPr="00264874">
        <w:rPr>
          <w:rFonts w:ascii="Open Sans" w:eastAsia="Times New Roman" w:hAnsi="Open Sans" w:cs="Open Sans"/>
          <w:b/>
          <w:bCs/>
          <w:color w:val="000000" w:themeColor="text1"/>
          <w:spacing w:val="2"/>
          <w:kern w:val="0"/>
          <w:sz w:val="28"/>
          <w:szCs w:val="28"/>
          <w14:ligatures w14:val="none"/>
        </w:rPr>
        <w:t xml:space="preserve">Topic 7 DQ </w:t>
      </w:r>
      <w:r w:rsidR="00264874" w:rsidRPr="00264874">
        <w:rPr>
          <w:rFonts w:ascii="Open Sans" w:eastAsia="Times New Roman" w:hAnsi="Open Sans" w:cs="Open Sans"/>
          <w:b/>
          <w:bCs/>
          <w:color w:val="000000" w:themeColor="text1"/>
          <w:spacing w:val="2"/>
          <w:kern w:val="0"/>
          <w:sz w:val="28"/>
          <w:szCs w:val="28"/>
          <w14:ligatures w14:val="none"/>
        </w:rPr>
        <w:t>1 Responses</w:t>
      </w:r>
    </w:p>
    <w:p w:rsidR="00264874" w:rsidRPr="00264874" w:rsidRDefault="00264874" w:rsidP="00264874">
      <w:pPr>
        <w:pStyle w:val="NormalWeb"/>
        <w:shd w:val="clear" w:color="auto" w:fill="FFFFFF"/>
        <w:spacing w:before="0" w:after="0"/>
        <w:rPr>
          <w:b/>
          <w:bCs/>
          <w:color w:val="000000" w:themeColor="text1"/>
          <w:spacing w:val="2"/>
          <w:bdr w:val="none" w:sz="0" w:space="0" w:color="auto" w:frame="1"/>
        </w:rPr>
      </w:pPr>
      <w:r w:rsidRPr="00264874">
        <w:rPr>
          <w:b/>
          <w:bCs/>
          <w:color w:val="000000" w:themeColor="text1"/>
          <w:spacing w:val="2"/>
          <w:bdr w:val="none" w:sz="0" w:space="0" w:color="auto" w:frame="1"/>
        </w:rPr>
        <w:t>Jeanne’s Discussion</w:t>
      </w:r>
    </w:p>
    <w:p w:rsidR="00264874" w:rsidRPr="00264874" w:rsidRDefault="00264874" w:rsidP="00264874">
      <w:pPr>
        <w:pStyle w:val="NormalWeb"/>
        <w:shd w:val="clear" w:color="auto" w:fill="FFFFFF"/>
        <w:spacing w:before="0" w:after="0" w:line="360" w:lineRule="auto"/>
        <w:rPr>
          <w:color w:val="000000" w:themeColor="text1"/>
          <w:spacing w:val="2"/>
        </w:rPr>
      </w:pPr>
      <w:r w:rsidRPr="00264874">
        <w:rPr>
          <w:color w:val="000000" w:themeColor="text1"/>
          <w:spacing w:val="2"/>
          <w:bdr w:val="none" w:sz="0" w:space="0" w:color="auto" w:frame="1"/>
        </w:rPr>
        <w:t>Evaluating the effectiveness of an evidence-based practice (EBP) project is essential to determine whether the intervention achieved its intended goals and improved patient outcomes. Based on faculty feedback, I refined my objective to make it more specific and measurable.</w:t>
      </w:r>
    </w:p>
    <w:p w:rsidR="00264874" w:rsidRPr="00264874" w:rsidRDefault="00264874" w:rsidP="00264874">
      <w:pPr>
        <w:pStyle w:val="NormalWeb"/>
        <w:shd w:val="clear" w:color="auto" w:fill="FFFFFF"/>
        <w:spacing w:before="0" w:beforeAutospacing="0" w:after="0" w:afterAutospacing="0" w:line="360" w:lineRule="auto"/>
        <w:rPr>
          <w:color w:val="000000" w:themeColor="text1"/>
          <w:spacing w:val="2"/>
        </w:rPr>
      </w:pPr>
      <w:r w:rsidRPr="00264874">
        <w:rPr>
          <w:rStyle w:val="Strong"/>
          <w:color w:val="000000" w:themeColor="text1"/>
          <w:spacing w:val="2"/>
          <w:bdr w:val="none" w:sz="0" w:space="0" w:color="auto" w:frame="1"/>
        </w:rPr>
        <w:t>Objective:</w:t>
      </w:r>
      <w:r w:rsidRPr="00264874">
        <w:rPr>
          <w:color w:val="000000" w:themeColor="text1"/>
          <w:spacing w:val="2"/>
          <w:bdr w:val="none" w:sz="0" w:space="0" w:color="auto" w:frame="1"/>
        </w:rPr>
        <w:t> Implement a standardized transitional care and discharge planning process that improves patient understanding of discharge instructions and reduces 30-day hospital readmissions.</w:t>
      </w:r>
    </w:p>
    <w:p w:rsidR="00264874" w:rsidRPr="00264874" w:rsidRDefault="00264874" w:rsidP="00264874">
      <w:pPr>
        <w:pStyle w:val="NormalWeb"/>
        <w:shd w:val="clear" w:color="auto" w:fill="FFFFFF"/>
        <w:spacing w:before="0" w:beforeAutospacing="0" w:after="0" w:afterAutospacing="0" w:line="360" w:lineRule="auto"/>
        <w:rPr>
          <w:color w:val="000000" w:themeColor="text1"/>
          <w:spacing w:val="2"/>
        </w:rPr>
      </w:pPr>
      <w:r w:rsidRPr="00264874">
        <w:rPr>
          <w:rStyle w:val="Strong"/>
          <w:color w:val="000000" w:themeColor="text1"/>
          <w:spacing w:val="2"/>
          <w:bdr w:val="none" w:sz="0" w:space="0" w:color="auto" w:frame="1"/>
        </w:rPr>
        <w:t>Outcome:</w:t>
      </w:r>
      <w:r w:rsidRPr="00264874">
        <w:rPr>
          <w:color w:val="000000" w:themeColor="text1"/>
          <w:spacing w:val="2"/>
          <w:bdr w:val="none" w:sz="0" w:space="0" w:color="auto" w:frame="1"/>
        </w:rPr>
        <w:t> Decrease the 30-day hospital readmission rate among eligible patients by </w:t>
      </w:r>
      <w:r w:rsidRPr="00264874">
        <w:rPr>
          <w:rStyle w:val="Strong"/>
          <w:color w:val="000000" w:themeColor="text1"/>
          <w:spacing w:val="2"/>
          <w:bdr w:val="none" w:sz="0" w:space="0" w:color="auto" w:frame="1"/>
        </w:rPr>
        <w:t>10% within 10 weeks</w:t>
      </w:r>
      <w:r w:rsidRPr="00264874">
        <w:rPr>
          <w:color w:val="000000" w:themeColor="text1"/>
          <w:spacing w:val="2"/>
          <w:bdr w:val="none" w:sz="0" w:space="0" w:color="auto" w:frame="1"/>
        </w:rPr>
        <w:t> of implementing the standardized discharge planning intervention.</w:t>
      </w:r>
    </w:p>
    <w:p w:rsidR="00264874" w:rsidRPr="00264874" w:rsidRDefault="00264874" w:rsidP="00264874">
      <w:pPr>
        <w:pStyle w:val="NormalWeb"/>
        <w:shd w:val="clear" w:color="auto" w:fill="FFFFFF"/>
        <w:spacing w:before="0" w:beforeAutospacing="0" w:after="0" w:afterAutospacing="0" w:line="360" w:lineRule="auto"/>
        <w:rPr>
          <w:color w:val="000000" w:themeColor="text1"/>
          <w:spacing w:val="2"/>
        </w:rPr>
      </w:pPr>
      <w:r w:rsidRPr="00264874">
        <w:rPr>
          <w:color w:val="000000" w:themeColor="text1"/>
          <w:spacing w:val="2"/>
          <w:bdr w:val="none" w:sz="0" w:space="0" w:color="auto" w:frame="1"/>
        </w:rPr>
        <w:t>To evaluate whether this outcome has been met, I will compare 30-day hospital readmission data before and after implementation. Additional measures will include auditing discharge documentation to ensure that medication reconciliation, patient education, the teach-back method, and follow-up appointments were completed consistently. Patient satisfaction surveys and follow-up telephone calls within 48 to 72 hours after discharge will also provide valuable information regarding patient understanding and adherence to the discharge plan.</w:t>
      </w:r>
    </w:p>
    <w:p w:rsidR="00264874" w:rsidRPr="00264874" w:rsidRDefault="00264874" w:rsidP="00264874">
      <w:pPr>
        <w:pStyle w:val="NormalWeb"/>
        <w:shd w:val="clear" w:color="auto" w:fill="FFFFFF"/>
        <w:spacing w:before="0" w:beforeAutospacing="0" w:after="0" w:afterAutospacing="0" w:line="360" w:lineRule="auto"/>
        <w:rPr>
          <w:color w:val="000000" w:themeColor="text1"/>
          <w:spacing w:val="2"/>
        </w:rPr>
      </w:pPr>
      <w:r w:rsidRPr="00264874">
        <w:rPr>
          <w:color w:val="000000" w:themeColor="text1"/>
          <w:spacing w:val="2"/>
          <w:bdr w:val="none" w:sz="0" w:space="0" w:color="auto" w:frame="1"/>
        </w:rPr>
        <w:t>Using this evaluation process allows the healthcare team to determine whether the intervention produced meaningful improvements in practice. If readmission rates decline and patients demonstrate greater understanding of discharge instructions, the evidence will support continuing the standardized discharge planning process. If outcomes do not improve as expected, the collected data will help identify barriers and guide modifications to strengthen the intervention. Continuous evaluation is an important component of evidence-based practice because it promotes quality improvement, supports accountability, and ensures that patient care remains safe, effective, and centered on the best available evidence.</w:t>
      </w:r>
    </w:p>
    <w:p w:rsidR="00264874" w:rsidRPr="00264874" w:rsidRDefault="00264874" w:rsidP="00264874">
      <w:pPr>
        <w:pStyle w:val="NormalWeb"/>
        <w:shd w:val="clear" w:color="auto" w:fill="FFFFFF"/>
        <w:spacing w:before="0" w:beforeAutospacing="0" w:after="0" w:afterAutospacing="0" w:line="360" w:lineRule="auto"/>
        <w:rPr>
          <w:color w:val="000000" w:themeColor="text1"/>
          <w:spacing w:val="2"/>
        </w:rPr>
      </w:pPr>
      <w:r w:rsidRPr="00264874">
        <w:rPr>
          <w:rStyle w:val="Strong"/>
          <w:color w:val="000000" w:themeColor="text1"/>
          <w:spacing w:val="2"/>
          <w:bdr w:val="none" w:sz="0" w:space="0" w:color="auto" w:frame="1"/>
        </w:rPr>
        <w:t>References</w:t>
      </w:r>
    </w:p>
    <w:p w:rsidR="00264874" w:rsidRPr="00264874" w:rsidRDefault="00264874" w:rsidP="00264874">
      <w:pPr>
        <w:pStyle w:val="NormalWeb"/>
        <w:shd w:val="clear" w:color="auto" w:fill="FFFFFF"/>
        <w:spacing w:before="0" w:beforeAutospacing="0" w:after="0" w:afterAutospacing="0" w:line="360" w:lineRule="auto"/>
        <w:ind w:left="720" w:hanging="720"/>
        <w:rPr>
          <w:color w:val="000000" w:themeColor="text1"/>
          <w:spacing w:val="2"/>
        </w:rPr>
      </w:pPr>
      <w:r w:rsidRPr="00264874">
        <w:rPr>
          <w:color w:val="000000" w:themeColor="text1"/>
          <w:spacing w:val="2"/>
          <w:bdr w:val="none" w:sz="0" w:space="0" w:color="auto" w:frame="1"/>
        </w:rPr>
        <w:t>Melnyk, B. M., &amp; Fineout-Overholt, E. (2023). </w:t>
      </w:r>
      <w:r w:rsidRPr="00264874">
        <w:rPr>
          <w:rStyle w:val="Emphasis"/>
          <w:color w:val="000000" w:themeColor="text1"/>
          <w:spacing w:val="2"/>
          <w:bdr w:val="none" w:sz="0" w:space="0" w:color="auto" w:frame="1"/>
        </w:rPr>
        <w:t>Evidence-based practice in nursing &amp; healthcare: A guide to best practice</w:t>
      </w:r>
      <w:r w:rsidRPr="00264874">
        <w:rPr>
          <w:color w:val="000000" w:themeColor="text1"/>
          <w:spacing w:val="2"/>
          <w:bdr w:val="none" w:sz="0" w:space="0" w:color="auto" w:frame="1"/>
        </w:rPr>
        <w:t> (5th ed.). Wolters Kluwer.</w:t>
      </w:r>
    </w:p>
    <w:p w:rsidR="00264874" w:rsidRPr="00264874" w:rsidRDefault="00264874" w:rsidP="00264874">
      <w:pPr>
        <w:pStyle w:val="NormalWeb"/>
        <w:shd w:val="clear" w:color="auto" w:fill="FFFFFF"/>
        <w:spacing w:before="0" w:beforeAutospacing="0" w:after="0" w:afterAutospacing="0" w:line="360" w:lineRule="auto"/>
        <w:ind w:left="720" w:hanging="720"/>
        <w:rPr>
          <w:color w:val="000000" w:themeColor="text1"/>
          <w:spacing w:val="2"/>
          <w:bdr w:val="none" w:sz="0" w:space="0" w:color="auto" w:frame="1"/>
        </w:rPr>
      </w:pPr>
      <w:r w:rsidRPr="00264874">
        <w:rPr>
          <w:color w:val="000000" w:themeColor="text1"/>
          <w:spacing w:val="2"/>
          <w:bdr w:val="none" w:sz="0" w:space="0" w:color="auto" w:frame="1"/>
        </w:rPr>
        <w:t>Naylor, M. D., &amp; Hirschman, K. B. (2021). The importance of transitional care in achieving high-quality, cost-effective healthcare. </w:t>
      </w:r>
      <w:r w:rsidRPr="00264874">
        <w:rPr>
          <w:rStyle w:val="Emphasis"/>
          <w:color w:val="000000" w:themeColor="text1"/>
          <w:spacing w:val="2"/>
          <w:bdr w:val="none" w:sz="0" w:space="0" w:color="auto" w:frame="1"/>
        </w:rPr>
        <w:t>Journal of Nursing Care Quality, 36</w:t>
      </w:r>
      <w:r w:rsidRPr="00264874">
        <w:rPr>
          <w:color w:val="000000" w:themeColor="text1"/>
          <w:spacing w:val="2"/>
          <w:bdr w:val="none" w:sz="0" w:space="0" w:color="auto" w:frame="1"/>
        </w:rPr>
        <w:t>(3), 197–203.</w:t>
      </w:r>
    </w:p>
    <w:p w:rsidR="00264874" w:rsidRDefault="00264874" w:rsidP="00264874">
      <w:pPr>
        <w:pStyle w:val="NormalWeb"/>
        <w:shd w:val="clear" w:color="auto" w:fill="FFFFFF"/>
        <w:spacing w:before="0" w:beforeAutospacing="0" w:after="0" w:afterAutospacing="0" w:line="276" w:lineRule="atLeast"/>
        <w:rPr>
          <w:b/>
          <w:bCs/>
          <w:color w:val="212121"/>
          <w:spacing w:val="2"/>
          <w:sz w:val="23"/>
          <w:szCs w:val="23"/>
          <w:bdr w:val="none" w:sz="0" w:space="0" w:color="auto" w:frame="1"/>
        </w:rPr>
      </w:pPr>
      <w:r w:rsidRPr="00D80BE0">
        <w:rPr>
          <w:b/>
          <w:bCs/>
          <w:color w:val="212121"/>
          <w:spacing w:val="2"/>
          <w:sz w:val="23"/>
          <w:szCs w:val="23"/>
          <w:bdr w:val="none" w:sz="0" w:space="0" w:color="auto" w:frame="1"/>
        </w:rPr>
        <w:lastRenderedPageBreak/>
        <w:t>Manu’s Discussion</w:t>
      </w:r>
    </w:p>
    <w:p w:rsidR="00D80BE0" w:rsidRPr="00D80BE0" w:rsidRDefault="00D80BE0" w:rsidP="00264874">
      <w:pPr>
        <w:pStyle w:val="NormalWeb"/>
        <w:shd w:val="clear" w:color="auto" w:fill="FFFFFF"/>
        <w:spacing w:before="0" w:beforeAutospacing="0" w:after="0" w:afterAutospacing="0" w:line="276" w:lineRule="atLeast"/>
        <w:rPr>
          <w:b/>
          <w:bCs/>
          <w:color w:val="212121"/>
          <w:spacing w:val="2"/>
          <w:sz w:val="23"/>
          <w:szCs w:val="23"/>
          <w:bdr w:val="none" w:sz="0" w:space="0" w:color="auto" w:frame="1"/>
        </w:rPr>
      </w:pP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color w:val="212121"/>
          <w:spacing w:val="2"/>
          <w:sz w:val="22"/>
          <w:szCs w:val="22"/>
        </w:rPr>
      </w:pPr>
      <w:r w:rsidRPr="00D80BE0">
        <w:rPr>
          <w:color w:val="212121"/>
          <w:spacing w:val="2"/>
          <w:sz w:val="22"/>
          <w:szCs w:val="22"/>
          <w:bdr w:val="none" w:sz="0" w:space="0" w:color="auto" w:frame="1"/>
        </w:rPr>
        <w:t>Connecting objectives to measurable outcomes is a crucial component of evaluating any evidence-based practice project. For my project, which examines the effectiveness of fall prevention strategies in reducing patient falls in a rehabilitation setting, a revised objective is as follows:</w:t>
      </w: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color w:val="212121"/>
          <w:spacing w:val="2"/>
          <w:sz w:val="22"/>
          <w:szCs w:val="22"/>
        </w:rPr>
      </w:pPr>
      <w:r w:rsidRPr="00D80BE0">
        <w:rPr>
          <w:color w:val="212121"/>
          <w:spacing w:val="2"/>
          <w:sz w:val="22"/>
          <w:szCs w:val="22"/>
          <w:bdr w:val="none" w:sz="0" w:space="0" w:color="auto" w:frame="1"/>
        </w:rPr>
        <w:t>Objective: Achieve a 90% staff compliance rate with multicomponent fall prevention protocols within a three-month period.</w:t>
      </w: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color w:val="212121"/>
          <w:spacing w:val="2"/>
          <w:sz w:val="22"/>
          <w:szCs w:val="22"/>
        </w:rPr>
      </w:pPr>
      <w:r w:rsidRPr="00D80BE0">
        <w:rPr>
          <w:color w:val="212121"/>
          <w:spacing w:val="2"/>
          <w:sz w:val="22"/>
          <w:szCs w:val="22"/>
          <w:bdr w:val="none" w:sz="0" w:space="0" w:color="auto" w:frame="1"/>
        </w:rPr>
        <w:t>Associated Outcome: Staff adherence to fall prevention protocols and checklists will reach 90%, as verified through monthly audits performed by the quality improvement team.</w:t>
      </w: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color w:val="212121"/>
          <w:spacing w:val="2"/>
          <w:sz w:val="22"/>
          <w:szCs w:val="22"/>
        </w:rPr>
      </w:pPr>
      <w:r w:rsidRPr="00D80BE0">
        <w:rPr>
          <w:color w:val="212121"/>
          <w:spacing w:val="2"/>
          <w:sz w:val="22"/>
          <w:szCs w:val="22"/>
          <w:bdr w:val="none" w:sz="0" w:space="0" w:color="auto" w:frame="1"/>
        </w:rPr>
        <w:t>To determine if this outcome is achieved, compliance data will be gathered using audit tools, chart reviews, and direct observation. Monthly reports will monitor adherence rates, comparing these trends to pre-implementation baseline levels (Halik et al., 2026). The outcome will be deemed successful if adherence remains at or above 90% throughout the three-month timeframe.</w:t>
      </w: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color w:val="212121"/>
          <w:spacing w:val="2"/>
          <w:sz w:val="22"/>
          <w:szCs w:val="22"/>
        </w:rPr>
      </w:pPr>
      <w:r w:rsidRPr="00D80BE0">
        <w:rPr>
          <w:color w:val="212121"/>
          <w:spacing w:val="2"/>
          <w:sz w:val="22"/>
          <w:szCs w:val="22"/>
          <w:bdr w:val="none" w:sz="0" w:space="0" w:color="auto" w:frame="1"/>
        </w:rPr>
        <w:t>This evaluation method clearly establishes whether the intervention successfully altered clinical practice. Measuring compliance enables a direct assessment of intended changes in staff behavior. Additionally, correlating this compliance data with patient fall rates reveals whether increased adherence leads to improved patient outcomes. This structured evaluation guarantees that the project is not merely executed but rigorously measured for effectiveness, supporting the core principles of continuous quality improvement (</w:t>
      </w:r>
      <w:proofErr w:type="spellStart"/>
      <w:r w:rsidRPr="00D80BE0">
        <w:rPr>
          <w:color w:val="212121"/>
          <w:spacing w:val="2"/>
          <w:sz w:val="22"/>
          <w:szCs w:val="22"/>
          <w:bdr w:val="none" w:sz="0" w:space="0" w:color="auto" w:frame="1"/>
        </w:rPr>
        <w:t>Kasicki</w:t>
      </w:r>
      <w:proofErr w:type="spellEnd"/>
      <w:r w:rsidRPr="00D80BE0">
        <w:rPr>
          <w:color w:val="212121"/>
          <w:spacing w:val="2"/>
          <w:sz w:val="22"/>
          <w:szCs w:val="22"/>
          <w:bdr w:val="none" w:sz="0" w:space="0" w:color="auto" w:frame="1"/>
        </w:rPr>
        <w:t xml:space="preserve"> et al., 2025). Ultimately, this approach confirms whether the intervention successfully decreased falls and fostered a safer rehabilitation environment, thereby proving the value of evidence-based practice in patient care.</w:t>
      </w:r>
    </w:p>
    <w:p w:rsidR="00264874" w:rsidRPr="00D80BE0" w:rsidRDefault="00264874" w:rsidP="00D80BE0">
      <w:pPr>
        <w:pStyle w:val="NormalWeb"/>
        <w:shd w:val="clear" w:color="auto" w:fill="FFFFFF"/>
        <w:spacing w:before="0" w:beforeAutospacing="0" w:after="0" w:afterAutospacing="0" w:line="360" w:lineRule="auto"/>
        <w:rPr>
          <w:rFonts w:ascii="Calibri" w:hAnsi="Calibri" w:cs="Calibri"/>
          <w:b/>
          <w:bCs/>
          <w:color w:val="212121"/>
          <w:spacing w:val="2"/>
          <w:sz w:val="22"/>
          <w:szCs w:val="22"/>
        </w:rPr>
      </w:pPr>
      <w:r w:rsidRPr="00D80BE0">
        <w:rPr>
          <w:b/>
          <w:bCs/>
          <w:color w:val="212121"/>
          <w:spacing w:val="2"/>
          <w:sz w:val="22"/>
          <w:szCs w:val="22"/>
          <w:bdr w:val="none" w:sz="0" w:space="0" w:color="auto" w:frame="1"/>
        </w:rPr>
        <w:t>References</w:t>
      </w:r>
    </w:p>
    <w:p w:rsidR="00264874" w:rsidRPr="00D80BE0" w:rsidRDefault="00264874" w:rsidP="00D80BE0">
      <w:pPr>
        <w:pStyle w:val="NormalWeb"/>
        <w:shd w:val="clear" w:color="auto" w:fill="FFFFFF"/>
        <w:spacing w:before="0" w:beforeAutospacing="0" w:after="0" w:afterAutospacing="0" w:line="360" w:lineRule="auto"/>
        <w:ind w:left="720" w:hanging="720"/>
        <w:rPr>
          <w:rFonts w:ascii="Calibri" w:hAnsi="Calibri" w:cs="Calibri"/>
          <w:color w:val="212121"/>
          <w:spacing w:val="2"/>
          <w:sz w:val="22"/>
          <w:szCs w:val="22"/>
        </w:rPr>
      </w:pPr>
      <w:r w:rsidRPr="00D80BE0">
        <w:rPr>
          <w:color w:val="212121"/>
          <w:spacing w:val="2"/>
          <w:sz w:val="22"/>
          <w:szCs w:val="22"/>
          <w:bdr w:val="none" w:sz="0" w:space="0" w:color="auto" w:frame="1"/>
        </w:rPr>
        <w:t xml:space="preserve">Halik, P., </w:t>
      </w:r>
      <w:proofErr w:type="spellStart"/>
      <w:r w:rsidRPr="00D80BE0">
        <w:rPr>
          <w:color w:val="212121"/>
          <w:spacing w:val="2"/>
          <w:sz w:val="22"/>
          <w:szCs w:val="22"/>
          <w:bdr w:val="none" w:sz="0" w:space="0" w:color="auto" w:frame="1"/>
        </w:rPr>
        <w:t>Jusiak</w:t>
      </w:r>
      <w:proofErr w:type="spellEnd"/>
      <w:r w:rsidRPr="00D80BE0">
        <w:rPr>
          <w:color w:val="212121"/>
          <w:spacing w:val="2"/>
          <w:sz w:val="22"/>
          <w:szCs w:val="22"/>
          <w:bdr w:val="none" w:sz="0" w:space="0" w:color="auto" w:frame="1"/>
        </w:rPr>
        <w:t xml:space="preserve">, J., Wydeheft, L., </w:t>
      </w:r>
      <w:proofErr w:type="spellStart"/>
      <w:r w:rsidRPr="00D80BE0">
        <w:rPr>
          <w:color w:val="212121"/>
          <w:spacing w:val="2"/>
          <w:sz w:val="22"/>
          <w:szCs w:val="22"/>
          <w:bdr w:val="none" w:sz="0" w:space="0" w:color="auto" w:frame="1"/>
        </w:rPr>
        <w:t>Malon</w:t>
      </w:r>
      <w:proofErr w:type="spellEnd"/>
      <w:r w:rsidRPr="00D80BE0">
        <w:rPr>
          <w:color w:val="212121"/>
          <w:spacing w:val="2"/>
          <w:sz w:val="22"/>
          <w:szCs w:val="22"/>
          <w:bdr w:val="none" w:sz="0" w:space="0" w:color="auto" w:frame="1"/>
        </w:rPr>
        <w:t>, P., Lewiński, J., &amp; Kędziora-Kornatowska, K. (2026). Falls in the Elderly: Determinants, Consequences and Prevention Approaches. </w:t>
      </w:r>
      <w:r w:rsidRPr="00D80BE0">
        <w:rPr>
          <w:rStyle w:val="Emphasis"/>
          <w:rFonts w:ascii="inherit" w:hAnsi="inherit"/>
          <w:color w:val="212121"/>
          <w:spacing w:val="2"/>
          <w:sz w:val="22"/>
          <w:szCs w:val="22"/>
          <w:bdr w:val="none" w:sz="0" w:space="0" w:color="auto" w:frame="1"/>
        </w:rPr>
        <w:t>Quality in Sport</w:t>
      </w:r>
      <w:r w:rsidRPr="00D80BE0">
        <w:rPr>
          <w:color w:val="212121"/>
          <w:spacing w:val="2"/>
          <w:sz w:val="22"/>
          <w:szCs w:val="22"/>
          <w:bdr w:val="none" w:sz="0" w:space="0" w:color="auto" w:frame="1"/>
        </w:rPr>
        <w:t>, </w:t>
      </w:r>
      <w:r w:rsidRPr="00D80BE0">
        <w:rPr>
          <w:rStyle w:val="Emphasis"/>
          <w:rFonts w:ascii="inherit" w:hAnsi="inherit"/>
          <w:color w:val="212121"/>
          <w:spacing w:val="2"/>
          <w:sz w:val="22"/>
          <w:szCs w:val="22"/>
          <w:bdr w:val="none" w:sz="0" w:space="0" w:color="auto" w:frame="1"/>
        </w:rPr>
        <w:t>50</w:t>
      </w:r>
      <w:r w:rsidRPr="00D80BE0">
        <w:rPr>
          <w:color w:val="212121"/>
          <w:spacing w:val="2"/>
          <w:sz w:val="22"/>
          <w:szCs w:val="22"/>
          <w:bdr w:val="none" w:sz="0" w:space="0" w:color="auto" w:frame="1"/>
        </w:rPr>
        <w:t>, 68008-68008. </w:t>
      </w:r>
      <w:hyperlink r:id="rId4" w:tgtFrame="_blank" w:history="1">
        <w:r w:rsidRPr="00D80BE0">
          <w:rPr>
            <w:rStyle w:val="Hyperlink"/>
            <w:color w:val="1A65B0"/>
            <w:spacing w:val="2"/>
            <w:sz w:val="22"/>
            <w:szCs w:val="22"/>
            <w:bdr w:val="none" w:sz="0" w:space="0" w:color="auto" w:frame="1"/>
          </w:rPr>
          <w:t>https://doi.org/10.12775/QS.2026.50.68008</w:t>
        </w:r>
      </w:hyperlink>
    </w:p>
    <w:p w:rsidR="00B72657" w:rsidRPr="00D80BE0" w:rsidRDefault="00264874" w:rsidP="00D80BE0">
      <w:pPr>
        <w:pStyle w:val="NormalWeb"/>
        <w:shd w:val="clear" w:color="auto" w:fill="FFFFFF"/>
        <w:spacing w:before="0" w:beforeAutospacing="0" w:after="0" w:afterAutospacing="0" w:line="360" w:lineRule="auto"/>
        <w:ind w:left="720" w:hanging="720"/>
        <w:rPr>
          <w:rFonts w:ascii="Calibri" w:hAnsi="Calibri" w:cs="Calibri"/>
          <w:color w:val="212121"/>
          <w:spacing w:val="2"/>
          <w:sz w:val="22"/>
          <w:szCs w:val="22"/>
        </w:rPr>
      </w:pPr>
      <w:proofErr w:type="spellStart"/>
      <w:r w:rsidRPr="00D80BE0">
        <w:rPr>
          <w:color w:val="212121"/>
          <w:spacing w:val="2"/>
          <w:sz w:val="22"/>
          <w:szCs w:val="22"/>
          <w:bdr w:val="none" w:sz="0" w:space="0" w:color="auto" w:frame="1"/>
        </w:rPr>
        <w:t>Kasicki</w:t>
      </w:r>
      <w:proofErr w:type="spellEnd"/>
      <w:r w:rsidRPr="00D80BE0">
        <w:rPr>
          <w:color w:val="212121"/>
          <w:spacing w:val="2"/>
          <w:sz w:val="22"/>
          <w:szCs w:val="22"/>
          <w:bdr w:val="none" w:sz="0" w:space="0" w:color="auto" w:frame="1"/>
        </w:rPr>
        <w:t xml:space="preserve">, K., </w:t>
      </w:r>
      <w:proofErr w:type="spellStart"/>
      <w:r w:rsidRPr="00D80BE0">
        <w:rPr>
          <w:color w:val="212121"/>
          <w:spacing w:val="2"/>
          <w:sz w:val="22"/>
          <w:szCs w:val="22"/>
          <w:bdr w:val="none" w:sz="0" w:space="0" w:color="auto" w:frame="1"/>
        </w:rPr>
        <w:t>Piskorz</w:t>
      </w:r>
      <w:proofErr w:type="spellEnd"/>
      <w:r w:rsidRPr="00D80BE0">
        <w:rPr>
          <w:color w:val="212121"/>
          <w:spacing w:val="2"/>
          <w:sz w:val="22"/>
          <w:szCs w:val="22"/>
          <w:bdr w:val="none" w:sz="0" w:space="0" w:color="auto" w:frame="1"/>
        </w:rPr>
        <w:t xml:space="preserve">, E. K., Rydzik, Ł., Ambroży, T., </w:t>
      </w:r>
      <w:proofErr w:type="spellStart"/>
      <w:r w:rsidRPr="00D80BE0">
        <w:rPr>
          <w:color w:val="212121"/>
          <w:spacing w:val="2"/>
          <w:sz w:val="22"/>
          <w:szCs w:val="22"/>
          <w:bdr w:val="none" w:sz="0" w:space="0" w:color="auto" w:frame="1"/>
        </w:rPr>
        <w:t>Ceranowicz</w:t>
      </w:r>
      <w:proofErr w:type="spellEnd"/>
      <w:r w:rsidRPr="00D80BE0">
        <w:rPr>
          <w:color w:val="212121"/>
          <w:spacing w:val="2"/>
          <w:sz w:val="22"/>
          <w:szCs w:val="22"/>
          <w:bdr w:val="none" w:sz="0" w:space="0" w:color="auto" w:frame="1"/>
        </w:rPr>
        <w:t xml:space="preserve">, P., &amp; </w:t>
      </w:r>
      <w:proofErr w:type="spellStart"/>
      <w:r w:rsidRPr="00D80BE0">
        <w:rPr>
          <w:color w:val="212121"/>
          <w:spacing w:val="2"/>
          <w:sz w:val="22"/>
          <w:szCs w:val="22"/>
          <w:bdr w:val="none" w:sz="0" w:space="0" w:color="auto" w:frame="1"/>
        </w:rPr>
        <w:t>Błach</w:t>
      </w:r>
      <w:proofErr w:type="spellEnd"/>
      <w:r w:rsidRPr="00D80BE0">
        <w:rPr>
          <w:color w:val="212121"/>
          <w:spacing w:val="2"/>
          <w:sz w:val="22"/>
          <w:szCs w:val="22"/>
          <w:bdr w:val="none" w:sz="0" w:space="0" w:color="auto" w:frame="1"/>
        </w:rPr>
        <w:t>, W. (2025). A systematic review of multicomponent vs. single-component training programs for fall prevention in older adults. </w:t>
      </w:r>
      <w:r w:rsidRPr="00D80BE0">
        <w:rPr>
          <w:rStyle w:val="Emphasis"/>
          <w:rFonts w:ascii="inherit" w:hAnsi="inherit"/>
          <w:color w:val="212121"/>
          <w:spacing w:val="2"/>
          <w:sz w:val="22"/>
          <w:szCs w:val="22"/>
          <w:bdr w:val="none" w:sz="0" w:space="0" w:color="auto" w:frame="1"/>
        </w:rPr>
        <w:t>Frontiers in Public Health</w:t>
      </w:r>
      <w:r w:rsidRPr="00D80BE0">
        <w:rPr>
          <w:color w:val="212121"/>
          <w:spacing w:val="2"/>
          <w:sz w:val="22"/>
          <w:szCs w:val="22"/>
          <w:bdr w:val="none" w:sz="0" w:space="0" w:color="auto" w:frame="1"/>
        </w:rPr>
        <w:t>, </w:t>
      </w:r>
      <w:r w:rsidRPr="00D80BE0">
        <w:rPr>
          <w:rStyle w:val="Emphasis"/>
          <w:rFonts w:ascii="inherit" w:hAnsi="inherit"/>
          <w:color w:val="212121"/>
          <w:spacing w:val="2"/>
          <w:sz w:val="22"/>
          <w:szCs w:val="22"/>
          <w:bdr w:val="none" w:sz="0" w:space="0" w:color="auto" w:frame="1"/>
        </w:rPr>
        <w:t>13</w:t>
      </w:r>
      <w:r w:rsidRPr="00D80BE0">
        <w:rPr>
          <w:color w:val="212121"/>
          <w:spacing w:val="2"/>
          <w:sz w:val="22"/>
          <w:szCs w:val="22"/>
          <w:bdr w:val="none" w:sz="0" w:space="0" w:color="auto" w:frame="1"/>
        </w:rPr>
        <w:t>, 1636439. </w:t>
      </w:r>
      <w:hyperlink r:id="rId5" w:tgtFrame="_blank" w:history="1">
        <w:r w:rsidRPr="00D80BE0">
          <w:rPr>
            <w:rStyle w:val="Hyperlink"/>
            <w:color w:val="1A65B0"/>
            <w:spacing w:val="2"/>
            <w:sz w:val="22"/>
            <w:szCs w:val="22"/>
            <w:bdr w:val="none" w:sz="0" w:space="0" w:color="auto" w:frame="1"/>
          </w:rPr>
          <w:t>https://doi.org/10.3389/fpubh.2025.1636439</w:t>
        </w:r>
      </w:hyperlink>
      <w:r w:rsidRPr="00D80BE0">
        <w:rPr>
          <w:rFonts w:ascii="Calibri" w:hAnsi="Calibri" w:cs="Calibri"/>
          <w:color w:val="212121"/>
          <w:spacing w:val="2"/>
          <w:sz w:val="22"/>
          <w:szCs w:val="22"/>
        </w:rPr>
        <w:t xml:space="preserve"> </w:t>
      </w:r>
    </w:p>
    <w:sectPr w:rsidR="00B72657" w:rsidRPr="00D80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28"/>
    <w:rsid w:val="00027628"/>
    <w:rsid w:val="00264874"/>
    <w:rsid w:val="003040CC"/>
    <w:rsid w:val="006451FF"/>
    <w:rsid w:val="00B72657"/>
    <w:rsid w:val="00D80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7DE84A"/>
  <w15:chartTrackingRefBased/>
  <w15:docId w15:val="{D41EDA5C-ADB6-CB4B-844D-16C10CBD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762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64874"/>
    <w:rPr>
      <w:b/>
      <w:bCs/>
    </w:rPr>
  </w:style>
  <w:style w:type="character" w:styleId="Emphasis">
    <w:name w:val="Emphasis"/>
    <w:basedOn w:val="DefaultParagraphFont"/>
    <w:uiPriority w:val="20"/>
    <w:qFormat/>
    <w:rsid w:val="00264874"/>
    <w:rPr>
      <w:i/>
      <w:iCs/>
    </w:rPr>
  </w:style>
  <w:style w:type="character" w:styleId="Hyperlink">
    <w:name w:val="Hyperlink"/>
    <w:basedOn w:val="DefaultParagraphFont"/>
    <w:uiPriority w:val="99"/>
    <w:semiHidden/>
    <w:unhideWhenUsed/>
    <w:rsid w:val="00264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2622">
      <w:bodyDiv w:val="1"/>
      <w:marLeft w:val="0"/>
      <w:marRight w:val="0"/>
      <w:marTop w:val="0"/>
      <w:marBottom w:val="0"/>
      <w:divBdr>
        <w:top w:val="none" w:sz="0" w:space="0" w:color="auto"/>
        <w:left w:val="none" w:sz="0" w:space="0" w:color="auto"/>
        <w:bottom w:val="none" w:sz="0" w:space="0" w:color="auto"/>
        <w:right w:val="none" w:sz="0" w:space="0" w:color="auto"/>
      </w:divBdr>
      <w:divsChild>
        <w:div w:id="373509530">
          <w:marLeft w:val="0"/>
          <w:marRight w:val="0"/>
          <w:marTop w:val="0"/>
          <w:marBottom w:val="0"/>
          <w:divBdr>
            <w:top w:val="none" w:sz="0" w:space="0" w:color="auto"/>
            <w:left w:val="none" w:sz="0" w:space="0" w:color="auto"/>
            <w:bottom w:val="none" w:sz="0" w:space="0" w:color="auto"/>
            <w:right w:val="none" w:sz="0" w:space="0" w:color="auto"/>
          </w:divBdr>
        </w:div>
        <w:div w:id="193349447">
          <w:marLeft w:val="0"/>
          <w:marRight w:val="0"/>
          <w:marTop w:val="0"/>
          <w:marBottom w:val="0"/>
          <w:divBdr>
            <w:top w:val="none" w:sz="0" w:space="0" w:color="auto"/>
            <w:left w:val="none" w:sz="0" w:space="0" w:color="auto"/>
            <w:bottom w:val="none" w:sz="0" w:space="0" w:color="auto"/>
            <w:right w:val="none" w:sz="0" w:space="0" w:color="auto"/>
          </w:divBdr>
          <w:divsChild>
            <w:div w:id="6296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7910">
      <w:bodyDiv w:val="1"/>
      <w:marLeft w:val="0"/>
      <w:marRight w:val="0"/>
      <w:marTop w:val="0"/>
      <w:marBottom w:val="0"/>
      <w:divBdr>
        <w:top w:val="none" w:sz="0" w:space="0" w:color="auto"/>
        <w:left w:val="none" w:sz="0" w:space="0" w:color="auto"/>
        <w:bottom w:val="none" w:sz="0" w:space="0" w:color="auto"/>
        <w:right w:val="none" w:sz="0" w:space="0" w:color="auto"/>
      </w:divBdr>
    </w:div>
    <w:div w:id="1422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3389/fpubh.2025.1636439" TargetMode="External"/><Relationship Id="rId4" Type="http://schemas.openxmlformats.org/officeDocument/2006/relationships/hyperlink" Target="https://doi.org/10.12775/QS.2026.50.68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2026-07-28T13:35:00Z</dcterms:created>
  <dcterms:modified xsi:type="dcterms:W3CDTF">2026-07-28T13:42:00Z</dcterms:modified>
</cp:coreProperties>
</file>